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6" w:type="dxa"/>
        <w:tblCellSpacing w:w="15" w:type="dxa"/>
        <w:tblLayout w:type="fixed"/>
        <w:tblCellMar>
          <w:left w:w="0" w:type="dxa"/>
          <w:right w:w="0" w:type="dxa"/>
        </w:tblCellMar>
        <w:tblLook w:val="04A0"/>
      </w:tblPr>
      <w:tblGrid>
        <w:gridCol w:w="7916"/>
        <w:gridCol w:w="50"/>
        <w:gridCol w:w="266"/>
        <w:gridCol w:w="311"/>
        <w:gridCol w:w="323"/>
      </w:tblGrid>
      <w:tr w:rsidR="00E64841" w:rsidRPr="00E64841" w:rsidTr="00BA0EF6">
        <w:trPr>
          <w:gridAfter w:val="1"/>
          <w:wAfter w:w="91" w:type="pct"/>
          <w:tblCellSpacing w:w="15" w:type="dxa"/>
        </w:trPr>
        <w:tc>
          <w:tcPr>
            <w:tcW w:w="4500" w:type="pct"/>
            <w:vAlign w:val="center"/>
            <w:hideMark/>
          </w:tcPr>
          <w:p w:rsidR="00E64841" w:rsidRPr="00E64841" w:rsidRDefault="00E64841" w:rsidP="00E64841">
            <w:pPr>
              <w:spacing w:after="0" w:line="240" w:lineRule="auto"/>
              <w:rPr>
                <w:rFonts w:ascii="Arial" w:eastAsia="Times New Roman" w:hAnsi="Arial" w:cs="Arial"/>
                <w:b/>
                <w:color w:val="000000"/>
                <w:sz w:val="26"/>
                <w:szCs w:val="26"/>
                <w:lang w:eastAsia="de-AT"/>
              </w:rPr>
            </w:pPr>
            <w:r w:rsidRPr="00E64841">
              <w:rPr>
                <w:rFonts w:ascii="Arial" w:eastAsia="Times New Roman" w:hAnsi="Arial" w:cs="Arial"/>
                <w:b/>
                <w:color w:val="000000"/>
                <w:sz w:val="26"/>
                <w:szCs w:val="26"/>
                <w:lang w:eastAsia="de-AT"/>
              </w:rPr>
              <w:t xml:space="preserve">Der Arme-Seelen-Ablass </w:t>
            </w:r>
          </w:p>
        </w:tc>
        <w:tc>
          <w:tcPr>
            <w:tcW w:w="11" w:type="pct"/>
            <w:vAlign w:val="center"/>
            <w:hideMark/>
          </w:tcPr>
          <w:p w:rsidR="00E64841" w:rsidRPr="00E64841" w:rsidRDefault="00E64841" w:rsidP="00E64841">
            <w:pPr>
              <w:spacing w:after="0" w:line="240" w:lineRule="auto"/>
              <w:jc w:val="right"/>
              <w:rPr>
                <w:rFonts w:ascii="Helvetica" w:eastAsia="Times New Roman" w:hAnsi="Helvetica" w:cs="Helvetica"/>
                <w:b/>
                <w:color w:val="111111"/>
                <w:sz w:val="18"/>
                <w:szCs w:val="18"/>
                <w:lang w:eastAsia="de-AT"/>
              </w:rPr>
            </w:pPr>
            <w:r w:rsidRPr="00C73FBD">
              <w:rPr>
                <w:rFonts w:ascii="Helvetica" w:eastAsia="Times New Roman" w:hAnsi="Helvetica" w:cs="Helvetica"/>
                <w:b/>
                <w:noProof/>
                <w:color w:val="135CAE"/>
                <w:sz w:val="18"/>
                <w:szCs w:val="18"/>
                <w:lang w:eastAsia="de-AT"/>
              </w:rPr>
              <w:drawing>
                <wp:inline distT="0" distB="0" distL="0" distR="0">
                  <wp:extent cx="152400" cy="152400"/>
                  <wp:effectExtent l="19050" t="0" r="0" b="0"/>
                  <wp:docPr id="1" name="Bild 1" descr="PDF">
                    <a:hlinkClick xmlns:a="http://schemas.openxmlformats.org/drawingml/2006/main" r:id="rI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tooltip="PDF"/>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35" w:type="pct"/>
            <w:vAlign w:val="center"/>
            <w:hideMark/>
          </w:tcPr>
          <w:p w:rsidR="00E64841" w:rsidRPr="00E64841" w:rsidRDefault="00E64841" w:rsidP="00E64841">
            <w:pPr>
              <w:spacing w:after="0" w:line="240" w:lineRule="auto"/>
              <w:jc w:val="right"/>
              <w:rPr>
                <w:rFonts w:ascii="Helvetica" w:eastAsia="Times New Roman" w:hAnsi="Helvetica" w:cs="Helvetica"/>
                <w:b/>
                <w:color w:val="111111"/>
                <w:sz w:val="18"/>
                <w:szCs w:val="18"/>
                <w:lang w:eastAsia="de-AT"/>
              </w:rPr>
            </w:pPr>
          </w:p>
        </w:tc>
        <w:tc>
          <w:tcPr>
            <w:tcW w:w="161" w:type="pct"/>
            <w:vAlign w:val="center"/>
            <w:hideMark/>
          </w:tcPr>
          <w:p w:rsidR="00E64841" w:rsidRPr="00E64841" w:rsidRDefault="00E64841" w:rsidP="00E64841">
            <w:pPr>
              <w:spacing w:after="0" w:line="240" w:lineRule="auto"/>
              <w:jc w:val="right"/>
              <w:rPr>
                <w:rFonts w:ascii="Helvetica" w:eastAsia="Times New Roman" w:hAnsi="Helvetica" w:cs="Helvetica"/>
                <w:b/>
                <w:color w:val="111111"/>
                <w:sz w:val="18"/>
                <w:szCs w:val="18"/>
                <w:lang w:eastAsia="de-AT"/>
              </w:rPr>
            </w:pPr>
          </w:p>
        </w:tc>
      </w:tr>
      <w:tr w:rsidR="00E64841" w:rsidRPr="00E64841" w:rsidTr="00BA0EF6">
        <w:trPr>
          <w:trHeight w:val="300"/>
          <w:tblCellSpacing w:w="15" w:type="dxa"/>
        </w:trPr>
        <w:tc>
          <w:tcPr>
            <w:tcW w:w="4966" w:type="pct"/>
            <w:gridSpan w:val="5"/>
            <w:tcMar>
              <w:top w:w="0" w:type="dxa"/>
              <w:left w:w="0" w:type="dxa"/>
              <w:bottom w:w="75" w:type="dxa"/>
              <w:right w:w="0" w:type="dxa"/>
            </w:tcMar>
            <w:hideMark/>
          </w:tcPr>
          <w:p w:rsidR="00E64841" w:rsidRPr="00E64841" w:rsidRDefault="00E64841" w:rsidP="00E64841">
            <w:pPr>
              <w:spacing w:after="0" w:line="240" w:lineRule="auto"/>
              <w:rPr>
                <w:rFonts w:ascii="Helvetica" w:eastAsia="Times New Roman" w:hAnsi="Helvetica" w:cs="Helvetica"/>
                <w:color w:val="999999"/>
                <w:sz w:val="20"/>
                <w:szCs w:val="20"/>
                <w:lang w:eastAsia="de-AT"/>
              </w:rPr>
            </w:pPr>
          </w:p>
        </w:tc>
      </w:tr>
      <w:tr w:rsidR="00E64841" w:rsidRPr="00E64841" w:rsidTr="00BA0EF6">
        <w:trPr>
          <w:tblCellSpacing w:w="15" w:type="dxa"/>
        </w:trPr>
        <w:tc>
          <w:tcPr>
            <w:tcW w:w="4966" w:type="pct"/>
            <w:gridSpan w:val="5"/>
            <w:hideMark/>
          </w:tcPr>
          <w:p w:rsidR="00E64841" w:rsidRPr="00E64841" w:rsidRDefault="00E64841" w:rsidP="00E64841">
            <w:pPr>
              <w:spacing w:before="100" w:beforeAutospacing="1" w:after="100" w:afterAutospacing="1" w:line="240" w:lineRule="auto"/>
              <w:jc w:val="both"/>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t xml:space="preserve">In der Zeit vom 1. bis 8. November kann durch den Besuch des Friedhofs ein vollkommener Ablass für die armen Seelen gewonnen werden. Am Allerseelentag genügt auch der Kirchbesuch. Dabei muss ein </w:t>
            </w:r>
            <w:r w:rsidRPr="00E64841">
              <w:rPr>
                <w:rFonts w:ascii="Helvetica" w:eastAsia="Times New Roman" w:hAnsi="Helvetica" w:cs="Helvetica"/>
                <w:i/>
                <w:iCs/>
                <w:color w:val="111111"/>
                <w:sz w:val="20"/>
                <w:lang w:eastAsia="de-AT"/>
              </w:rPr>
              <w:t>Credo</w:t>
            </w:r>
            <w:r w:rsidRPr="00E64841">
              <w:rPr>
                <w:rFonts w:ascii="Helvetica" w:eastAsia="Times New Roman" w:hAnsi="Helvetica" w:cs="Helvetica"/>
                <w:color w:val="111111"/>
                <w:sz w:val="20"/>
                <w:szCs w:val="20"/>
                <w:lang w:eastAsia="de-AT"/>
              </w:rPr>
              <w:t xml:space="preserve"> und ein </w:t>
            </w:r>
            <w:r w:rsidRPr="00E64841">
              <w:rPr>
                <w:rFonts w:ascii="Helvetica" w:eastAsia="Times New Roman" w:hAnsi="Helvetica" w:cs="Helvetica"/>
                <w:i/>
                <w:iCs/>
                <w:color w:val="111111"/>
                <w:sz w:val="20"/>
                <w:lang w:eastAsia="de-AT"/>
              </w:rPr>
              <w:t>Vater unser</w:t>
            </w:r>
            <w:r w:rsidRPr="00E64841">
              <w:rPr>
                <w:rFonts w:ascii="Helvetica" w:eastAsia="Times New Roman" w:hAnsi="Helvetica" w:cs="Helvetica"/>
                <w:color w:val="111111"/>
                <w:sz w:val="20"/>
                <w:szCs w:val="20"/>
                <w:lang w:eastAsia="de-AT"/>
              </w:rPr>
              <w:t xml:space="preserve"> gebetet werden. Für die weiteren Tage bis zum 8. November muss beim Besuch des Friedhofs im Geiste für die armen Seelen gebetet werden. Die anderen vorgeschriebenen Gebete müssen ausgesprochen werden (wenigstens mit Bewegung der Lippen).</w:t>
            </w:r>
          </w:p>
          <w:p w:rsidR="00E64841" w:rsidRPr="00E64841" w:rsidRDefault="00E64841" w:rsidP="00E64841">
            <w:pPr>
              <w:spacing w:before="100" w:beforeAutospacing="1" w:after="100" w:afterAutospacing="1" w:line="240" w:lineRule="auto"/>
              <w:jc w:val="both"/>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t>Zur Erlangung eines vollkommenen Ablasses für die armen Seelen gelten darüber hinaus die folgenden Bedingungen:</w:t>
            </w:r>
          </w:p>
          <w:p w:rsidR="00E64841" w:rsidRPr="00E64841" w:rsidRDefault="00E64841" w:rsidP="00E64841">
            <w:pPr>
              <w:spacing w:before="100" w:beforeAutospacing="1" w:after="100" w:afterAutospacing="1" w:line="240" w:lineRule="auto"/>
              <w:rPr>
                <w:rFonts w:ascii="Helvetica" w:eastAsia="Times New Roman" w:hAnsi="Helvetica" w:cs="Helvetica"/>
                <w:color w:val="111111"/>
                <w:sz w:val="20"/>
                <w:szCs w:val="20"/>
                <w:lang w:eastAsia="de-AT"/>
              </w:rPr>
            </w:pPr>
            <w:r w:rsidRPr="00C73FBD">
              <w:rPr>
                <w:rFonts w:ascii="Helvetica" w:eastAsia="Times New Roman" w:hAnsi="Helvetica" w:cs="Helvetica"/>
                <w:iCs/>
                <w:color w:val="111111"/>
                <w:sz w:val="20"/>
                <w:lang w:eastAsia="de-AT"/>
              </w:rPr>
              <w:t>- Beichte im Zeitraum von ungefähr 20 Tagen vorher oder nachher</w:t>
            </w:r>
            <w:r w:rsidRPr="00E64841">
              <w:rPr>
                <w:rFonts w:ascii="Helvetica" w:eastAsia="Times New Roman" w:hAnsi="Helvetica" w:cs="Helvetica"/>
                <w:color w:val="111111"/>
                <w:sz w:val="20"/>
                <w:szCs w:val="20"/>
                <w:lang w:eastAsia="de-AT"/>
              </w:rPr>
              <w:br/>
            </w:r>
            <w:r w:rsidRPr="00C73FBD">
              <w:rPr>
                <w:rFonts w:ascii="Helvetica" w:eastAsia="Times New Roman" w:hAnsi="Helvetica" w:cs="Helvetica"/>
                <w:iCs/>
                <w:color w:val="111111"/>
                <w:sz w:val="20"/>
                <w:lang w:eastAsia="de-AT"/>
              </w:rPr>
              <w:t>- Empfang der heiligen Kommunion</w:t>
            </w:r>
            <w:r w:rsidRPr="00E64841">
              <w:rPr>
                <w:rFonts w:ascii="Helvetica" w:eastAsia="Times New Roman" w:hAnsi="Helvetica" w:cs="Helvetica"/>
                <w:color w:val="111111"/>
                <w:sz w:val="20"/>
                <w:szCs w:val="20"/>
                <w:lang w:eastAsia="de-AT"/>
              </w:rPr>
              <w:br/>
            </w:r>
            <w:r w:rsidRPr="00C73FBD">
              <w:rPr>
                <w:rFonts w:ascii="Helvetica" w:eastAsia="Times New Roman" w:hAnsi="Helvetica" w:cs="Helvetica"/>
                <w:iCs/>
                <w:color w:val="111111"/>
                <w:sz w:val="20"/>
                <w:lang w:eastAsia="de-AT"/>
              </w:rPr>
              <w:t>- entschlossene Abkehr von jeder Anhänglichkeit an die freiwillige, auch lässliche Sünde</w:t>
            </w:r>
            <w:r w:rsidRPr="00E64841">
              <w:rPr>
                <w:rFonts w:ascii="Helvetica" w:eastAsia="Times New Roman" w:hAnsi="Helvetica" w:cs="Helvetica"/>
                <w:color w:val="111111"/>
                <w:sz w:val="20"/>
                <w:szCs w:val="20"/>
                <w:lang w:eastAsia="de-AT"/>
              </w:rPr>
              <w:br/>
            </w:r>
            <w:r w:rsidRPr="00C73FBD">
              <w:rPr>
                <w:rFonts w:ascii="Helvetica" w:eastAsia="Times New Roman" w:hAnsi="Helvetica" w:cs="Helvetica"/>
                <w:iCs/>
                <w:color w:val="111111"/>
                <w:sz w:val="20"/>
                <w:lang w:eastAsia="de-AT"/>
              </w:rPr>
              <w:t>- Gebet in der Meinung des Heiligen Vaters.</w:t>
            </w:r>
          </w:p>
          <w:p w:rsidR="00E64841" w:rsidRPr="00E64841" w:rsidRDefault="00E64841" w:rsidP="00E64841">
            <w:pPr>
              <w:spacing w:before="100" w:beforeAutospacing="1" w:after="100" w:afterAutospacing="1" w:line="240" w:lineRule="auto"/>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t>Zur Erläuterung dieser Bedingungen:</w:t>
            </w:r>
          </w:p>
          <w:p w:rsidR="00E64841" w:rsidRPr="00E64841" w:rsidRDefault="00E64841" w:rsidP="00E64841">
            <w:pPr>
              <w:spacing w:before="100" w:beforeAutospacing="1" w:after="100" w:afterAutospacing="1" w:line="240" w:lineRule="auto"/>
              <w:rPr>
                <w:rFonts w:ascii="Helvetica" w:eastAsia="Times New Roman" w:hAnsi="Helvetica" w:cs="Helvetica"/>
                <w:color w:val="111111"/>
                <w:sz w:val="20"/>
                <w:szCs w:val="20"/>
                <w:lang w:eastAsia="de-AT"/>
              </w:rPr>
            </w:pPr>
            <w:r w:rsidRPr="00E64841">
              <w:rPr>
                <w:rFonts w:ascii="Helvetica" w:eastAsia="Times New Roman" w:hAnsi="Helvetica" w:cs="Helvetica"/>
                <w:b/>
                <w:bCs/>
                <w:color w:val="111111"/>
                <w:sz w:val="20"/>
                <w:u w:val="single"/>
                <w:lang w:eastAsia="de-AT"/>
              </w:rPr>
              <w:t>Die besonderen Bedingungen für die Gewinnung eines vollkommenen Ablasses</w:t>
            </w:r>
          </w:p>
          <w:p w:rsidR="00E64841" w:rsidRPr="00E64841" w:rsidRDefault="00E64841" w:rsidP="00E64841">
            <w:pPr>
              <w:spacing w:before="100" w:beforeAutospacing="1" w:after="100" w:afterAutospacing="1" w:line="240" w:lineRule="auto"/>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t xml:space="preserve">Die Apostolische </w:t>
            </w:r>
            <w:proofErr w:type="spellStart"/>
            <w:r w:rsidRPr="00E64841">
              <w:rPr>
                <w:rFonts w:ascii="Helvetica" w:eastAsia="Times New Roman" w:hAnsi="Helvetica" w:cs="Helvetica"/>
                <w:color w:val="111111"/>
                <w:sz w:val="20"/>
                <w:szCs w:val="20"/>
                <w:lang w:eastAsia="de-AT"/>
              </w:rPr>
              <w:t>Pönitentiarie</w:t>
            </w:r>
            <w:proofErr w:type="spellEnd"/>
            <w:r w:rsidRPr="00E64841">
              <w:rPr>
                <w:rFonts w:ascii="Helvetica" w:eastAsia="Times New Roman" w:hAnsi="Helvetica" w:cs="Helvetica"/>
                <w:color w:val="111111"/>
                <w:sz w:val="20"/>
                <w:szCs w:val="20"/>
                <w:lang w:eastAsia="de-AT"/>
              </w:rPr>
              <w:t xml:space="preserve"> informiert auf der Internetseite des Vatikan (vatican.va):</w:t>
            </w:r>
          </w:p>
          <w:p w:rsidR="00E64841" w:rsidRPr="00E64841" w:rsidRDefault="00E64841" w:rsidP="00E64841">
            <w:pPr>
              <w:spacing w:before="100" w:beforeAutospacing="1" w:after="100" w:afterAutospacing="1" w:line="240" w:lineRule="auto"/>
              <w:jc w:val="both"/>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t>„Der vollkommene Ablass kann nur einmal am Tag gewonnen werden. Um ihn zu erhalten, ist es jedoch – über den Gnadenstand hinaus – notwendig, dass der Gläubige:</w:t>
            </w:r>
          </w:p>
          <w:p w:rsidR="00E64841" w:rsidRPr="00E64841" w:rsidRDefault="00E64841" w:rsidP="00E64841">
            <w:pPr>
              <w:spacing w:before="100" w:beforeAutospacing="1" w:after="100" w:afterAutospacing="1" w:line="240" w:lineRule="auto"/>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t>- die innere Disposition des Freiseins von jeglicher Anhänglichkeit an die Sünde, auch die lässliche, hat;</w:t>
            </w:r>
          </w:p>
          <w:p w:rsidR="00E64841" w:rsidRPr="00E64841" w:rsidRDefault="00E64841" w:rsidP="00E64841">
            <w:pPr>
              <w:spacing w:before="100" w:beforeAutospacing="1" w:after="100" w:afterAutospacing="1" w:line="240" w:lineRule="auto"/>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t>- die sakramentale Beichte seiner Sünden vornimmt;</w:t>
            </w:r>
            <w:r w:rsidRPr="00E64841">
              <w:rPr>
                <w:rFonts w:ascii="Helvetica" w:eastAsia="Times New Roman" w:hAnsi="Helvetica" w:cs="Helvetica"/>
                <w:color w:val="111111"/>
                <w:sz w:val="20"/>
                <w:szCs w:val="20"/>
                <w:lang w:eastAsia="de-AT"/>
              </w:rPr>
              <w:br/>
              <w:t>- die Allerheiligste Eucharistie empfängt;</w:t>
            </w:r>
            <w:r w:rsidRPr="00E64841">
              <w:rPr>
                <w:rFonts w:ascii="Helvetica" w:eastAsia="Times New Roman" w:hAnsi="Helvetica" w:cs="Helvetica"/>
                <w:color w:val="111111"/>
                <w:sz w:val="20"/>
                <w:szCs w:val="20"/>
                <w:lang w:eastAsia="de-AT"/>
              </w:rPr>
              <w:br/>
              <w:t>- nach Meinung des Heiligen Vaters betet."</w:t>
            </w:r>
          </w:p>
          <w:p w:rsidR="00E64841" w:rsidRPr="00E64841" w:rsidRDefault="00E64841" w:rsidP="00E64841">
            <w:pPr>
              <w:spacing w:before="100" w:beforeAutospacing="1" w:after="100" w:afterAutospacing="1" w:line="240" w:lineRule="auto"/>
              <w:jc w:val="both"/>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t>Es ist vorteilhaft, jedoch nicht notwendig, dass die sakramentale Beichte und insbesondere die heilige Kommunion und das Gebet nach Meinung des Heiligen Vaters am selben Tag vorgenommen werden, an dem auch das Ablasswerk vollbracht wird; es reicht aus, dass diese heiligen Riten und Gebete einige Tage (ungefähr 20) vor oder nach dem Ablasswerk abgelegt werden. Das Gebet nach Meinung des Heiligen Vaters bleibt der Wahl des einzelnen Gläubigen überlassen, es empfiehlt sich jedoch das Beten eines Vaterunsers sowie eines „</w:t>
            </w:r>
            <w:proofErr w:type="spellStart"/>
            <w:r w:rsidRPr="00E64841">
              <w:rPr>
                <w:rFonts w:ascii="Helvetica" w:eastAsia="Times New Roman" w:hAnsi="Helvetica" w:cs="Helvetica"/>
                <w:color w:val="111111"/>
                <w:sz w:val="20"/>
                <w:szCs w:val="20"/>
                <w:lang w:eastAsia="de-AT"/>
              </w:rPr>
              <w:t>Gegrüßet</w:t>
            </w:r>
            <w:proofErr w:type="spellEnd"/>
            <w:r w:rsidRPr="00E64841">
              <w:rPr>
                <w:rFonts w:ascii="Helvetica" w:eastAsia="Times New Roman" w:hAnsi="Helvetica" w:cs="Helvetica"/>
                <w:color w:val="111111"/>
                <w:sz w:val="20"/>
                <w:szCs w:val="20"/>
                <w:lang w:eastAsia="de-AT"/>
              </w:rPr>
              <w:t xml:space="preserve"> seist du Maria". Zum Erwerb mehrerer vollkommener Ablässe reicht eine sakramentale Beichte aus; es </w:t>
            </w:r>
            <w:proofErr w:type="gramStart"/>
            <w:r w:rsidRPr="00E64841">
              <w:rPr>
                <w:rFonts w:ascii="Helvetica" w:eastAsia="Times New Roman" w:hAnsi="Helvetica" w:cs="Helvetica"/>
                <w:color w:val="111111"/>
                <w:sz w:val="20"/>
                <w:szCs w:val="20"/>
                <w:lang w:eastAsia="de-AT"/>
              </w:rPr>
              <w:t>wird</w:t>
            </w:r>
            <w:proofErr w:type="gramEnd"/>
            <w:r w:rsidRPr="00E64841">
              <w:rPr>
                <w:rFonts w:ascii="Helvetica" w:eastAsia="Times New Roman" w:hAnsi="Helvetica" w:cs="Helvetica"/>
                <w:color w:val="111111"/>
                <w:sz w:val="20"/>
                <w:szCs w:val="20"/>
                <w:lang w:eastAsia="de-AT"/>
              </w:rPr>
              <w:t xml:space="preserve"> jedoch für jeden vollkommenen Ablass ein je eigener Empfang der heiligen Kommunion und ein eigenes Gebet nach Meinung des Heiligen Vaters verlangt.</w:t>
            </w:r>
          </w:p>
          <w:p w:rsidR="00E64841" w:rsidRPr="00E64841" w:rsidRDefault="00E64841" w:rsidP="00E64841">
            <w:pPr>
              <w:spacing w:before="100" w:beforeAutospacing="1" w:after="100" w:afterAutospacing="1" w:line="240" w:lineRule="auto"/>
              <w:jc w:val="both"/>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t>Die Beichtväter können für diejenigen, die rechtmäßig verhindert sind, sowohl das vorgeschriebene Werk als auch die hierfür verlangten Bedingungen abändern (abgesehen natürlich von der Abkehr von der Sünde, auch der lässlichen Sünde).</w:t>
            </w:r>
          </w:p>
          <w:p w:rsidR="00E64841" w:rsidRPr="00E64841" w:rsidRDefault="00E64841" w:rsidP="00E64841">
            <w:pPr>
              <w:spacing w:before="100" w:beforeAutospacing="1" w:after="100" w:afterAutospacing="1" w:line="240" w:lineRule="auto"/>
              <w:jc w:val="both"/>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t>Die Ablässe können immer für sich selbst gewonnen oder den Seelen der Verstorbenen zugewandt werden, sie können jedoch nicht für noch lebende Personen erworben werden. Neben der Verrichtung des vorgeschriebenen Werkes (z.B. der Friedhofsbesuch Anfang November) sind also noch weitere Bedingungen zu erfüllen:</w:t>
            </w:r>
          </w:p>
          <w:p w:rsidR="00E64841" w:rsidRPr="00E64841" w:rsidRDefault="00E64841" w:rsidP="00E64841">
            <w:pPr>
              <w:spacing w:before="100" w:beforeAutospacing="1" w:after="100" w:afterAutospacing="1" w:line="240" w:lineRule="auto"/>
              <w:jc w:val="both"/>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t>- Beichte: in einem Zeitraum von „ungefähr 20 Tagen vorher oder nachher" (nach der alten Ordnung acht Tage). Das heißt: Wer alle vier bis sechs Wochen beichtet, kann täglich einen vollkommenen Ablass gewinnen, wenn er im Stand der Gnade ist und die anderen Bedingungen erfüllt. Dies ist ein Segen, der sich aus der regelmäßigen Beichtpraxis ergibt, z.B. jeweils am Monatsanfang am Herz-Jesu-Freitag oder Herz-Maria-Sühnesamstag.</w:t>
            </w:r>
          </w:p>
          <w:p w:rsidR="00E64841" w:rsidRPr="00E64841" w:rsidRDefault="00E64841" w:rsidP="00E64841">
            <w:pPr>
              <w:spacing w:before="100" w:beforeAutospacing="1" w:after="100" w:afterAutospacing="1" w:line="240" w:lineRule="auto"/>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lastRenderedPageBreak/>
              <w:t>- Empfang der heiligen Kommunion</w:t>
            </w:r>
          </w:p>
          <w:p w:rsidR="00E64841" w:rsidRPr="00E64841" w:rsidRDefault="00E64841" w:rsidP="00E64841">
            <w:pPr>
              <w:spacing w:before="100" w:beforeAutospacing="1" w:after="100" w:afterAutospacing="1" w:line="240" w:lineRule="auto"/>
              <w:jc w:val="both"/>
              <w:rPr>
                <w:rFonts w:ascii="Helvetica" w:eastAsia="Times New Roman" w:hAnsi="Helvetica" w:cs="Helvetica"/>
                <w:color w:val="111111"/>
                <w:sz w:val="20"/>
                <w:szCs w:val="20"/>
                <w:highlight w:val="yellow"/>
                <w:lang w:eastAsia="de-AT"/>
              </w:rPr>
            </w:pPr>
            <w:r w:rsidRPr="00E64841">
              <w:rPr>
                <w:rFonts w:ascii="Helvetica" w:eastAsia="Times New Roman" w:hAnsi="Helvetica" w:cs="Helvetica"/>
                <w:color w:val="111111"/>
                <w:sz w:val="20"/>
                <w:szCs w:val="20"/>
                <w:lang w:eastAsia="de-AT"/>
              </w:rPr>
              <w:t xml:space="preserve">- Ein Gebet in der Meinung des Heiligen Vaters: z.B. ein Vaterunser oder ein Ave Maria. </w:t>
            </w:r>
            <w:r w:rsidRPr="00E64841">
              <w:rPr>
                <w:rFonts w:ascii="Helvetica" w:eastAsia="Times New Roman" w:hAnsi="Helvetica" w:cs="Helvetica"/>
                <w:b/>
                <w:color w:val="0000FF"/>
                <w:sz w:val="20"/>
                <w:szCs w:val="20"/>
                <w:highlight w:val="yellow"/>
                <w:lang w:eastAsia="de-AT"/>
              </w:rPr>
              <w:t>Die Meinungen des Heiligen Vaters sind von der Kirche objektiv festgelegt</w:t>
            </w:r>
            <w:r w:rsidRPr="00E64841">
              <w:rPr>
                <w:rFonts w:ascii="Helvetica" w:eastAsia="Times New Roman" w:hAnsi="Helvetica" w:cs="Helvetica"/>
                <w:color w:val="111111"/>
                <w:sz w:val="20"/>
                <w:szCs w:val="20"/>
                <w:highlight w:val="yellow"/>
                <w:lang w:eastAsia="de-AT"/>
              </w:rPr>
              <w:t>. Es handelt sich um folgende:</w:t>
            </w:r>
          </w:p>
          <w:p w:rsidR="00E64841" w:rsidRPr="00E64841" w:rsidRDefault="00E64841" w:rsidP="00E64841">
            <w:pPr>
              <w:spacing w:before="100" w:beforeAutospacing="1" w:after="100" w:afterAutospacing="1" w:line="240" w:lineRule="auto"/>
              <w:rPr>
                <w:rFonts w:ascii="Helvetica" w:eastAsia="Times New Roman" w:hAnsi="Helvetica" w:cs="Helvetica"/>
                <w:b/>
                <w:color w:val="111111"/>
                <w:sz w:val="20"/>
                <w:szCs w:val="20"/>
                <w:lang w:eastAsia="de-AT"/>
              </w:rPr>
            </w:pPr>
            <w:r w:rsidRPr="00E64841">
              <w:rPr>
                <w:rFonts w:ascii="Helvetica" w:eastAsia="Times New Roman" w:hAnsi="Helvetica" w:cs="Helvetica"/>
                <w:b/>
                <w:color w:val="111111"/>
                <w:sz w:val="20"/>
                <w:szCs w:val="20"/>
                <w:highlight w:val="yellow"/>
                <w:lang w:eastAsia="de-AT"/>
              </w:rPr>
              <w:t>- die Überwindung der Irrlehren</w:t>
            </w:r>
            <w:r w:rsidRPr="00E64841">
              <w:rPr>
                <w:rFonts w:ascii="Helvetica" w:eastAsia="Times New Roman" w:hAnsi="Helvetica" w:cs="Helvetica"/>
                <w:b/>
                <w:color w:val="111111"/>
                <w:sz w:val="20"/>
                <w:szCs w:val="20"/>
                <w:highlight w:val="yellow"/>
                <w:lang w:eastAsia="de-AT"/>
              </w:rPr>
              <w:br/>
              <w:t>- die Ausbreitung des Glaubens</w:t>
            </w:r>
            <w:r w:rsidRPr="00E64841">
              <w:rPr>
                <w:rFonts w:ascii="Helvetica" w:eastAsia="Times New Roman" w:hAnsi="Helvetica" w:cs="Helvetica"/>
                <w:b/>
                <w:color w:val="111111"/>
                <w:sz w:val="20"/>
                <w:szCs w:val="20"/>
                <w:highlight w:val="yellow"/>
                <w:lang w:eastAsia="de-AT"/>
              </w:rPr>
              <w:br/>
              <w:t>- die Bekehrung der Sünder</w:t>
            </w:r>
            <w:r w:rsidRPr="00E64841">
              <w:rPr>
                <w:rFonts w:ascii="Helvetica" w:eastAsia="Times New Roman" w:hAnsi="Helvetica" w:cs="Helvetica"/>
                <w:b/>
                <w:color w:val="111111"/>
                <w:sz w:val="20"/>
                <w:szCs w:val="20"/>
                <w:highlight w:val="yellow"/>
                <w:lang w:eastAsia="de-AT"/>
              </w:rPr>
              <w:br/>
              <w:t>- der Friede zwischen den christlichen Völkern.</w:t>
            </w:r>
          </w:p>
          <w:p w:rsidR="00E64841" w:rsidRPr="00E64841" w:rsidRDefault="00E64841" w:rsidP="00E64841">
            <w:pPr>
              <w:spacing w:before="100" w:beforeAutospacing="1" w:after="100" w:afterAutospacing="1" w:line="240" w:lineRule="auto"/>
              <w:jc w:val="both"/>
              <w:rPr>
                <w:rFonts w:ascii="Helvetica" w:eastAsia="Times New Roman" w:hAnsi="Helvetica" w:cs="Helvetica"/>
                <w:color w:val="111111"/>
                <w:sz w:val="20"/>
                <w:szCs w:val="20"/>
                <w:lang w:eastAsia="de-AT"/>
              </w:rPr>
            </w:pPr>
            <w:r w:rsidRPr="00E64841">
              <w:rPr>
                <w:rFonts w:ascii="Helvetica" w:eastAsia="Times New Roman" w:hAnsi="Helvetica" w:cs="Helvetica"/>
                <w:color w:val="111111"/>
                <w:sz w:val="20"/>
                <w:szCs w:val="20"/>
                <w:lang w:eastAsia="de-AT"/>
              </w:rPr>
              <w:t>- Der Wille, auch keine freiwillige lässliche Sünde mehr zu begehen oder eine Anhänglichkeit an sie zu pflegen. Sinnvollerweise verbindet man die Ablassgewinnung darum mit einer Liebesreue. Das heißt: Man bereut die Sünden aus Liebe zu Gott wegen der in ihnen liegenden großen Undankbarkeit.</w:t>
            </w:r>
          </w:p>
          <w:p w:rsidR="00E64841" w:rsidRDefault="00E64841" w:rsidP="00E64841">
            <w:pPr>
              <w:spacing w:before="100" w:beforeAutospacing="1" w:after="100" w:afterAutospacing="1" w:line="240" w:lineRule="auto"/>
              <w:rPr>
                <w:rFonts w:ascii="Helvetica" w:eastAsia="Times New Roman" w:hAnsi="Helvetica" w:cs="Helvetica"/>
                <w:iCs/>
                <w:color w:val="111111"/>
                <w:sz w:val="20"/>
                <w:lang w:eastAsia="de-AT"/>
              </w:rPr>
            </w:pPr>
            <w:r w:rsidRPr="00FF1214">
              <w:rPr>
                <w:rFonts w:ascii="Helvetica" w:eastAsia="Times New Roman" w:hAnsi="Helvetica" w:cs="Helvetica"/>
                <w:iCs/>
                <w:color w:val="111111"/>
                <w:sz w:val="20"/>
                <w:lang w:eastAsia="de-AT"/>
              </w:rPr>
              <w:t> </w:t>
            </w:r>
            <w:hyperlink r:id="rId6" w:history="1">
              <w:r w:rsidR="00FF1214" w:rsidRPr="00FF1214">
                <w:rPr>
                  <w:rStyle w:val="Hyperlink"/>
                  <w:rFonts w:ascii="Helvetica" w:eastAsia="Times New Roman" w:hAnsi="Helvetica" w:cs="Helvetica"/>
                  <w:iCs/>
                  <w:sz w:val="20"/>
                  <w:lang w:eastAsia="de-AT"/>
                </w:rPr>
                <w:t>http://pius.info/froemmigkeit/8367-der-arme-seelen-ablass</w:t>
              </w:r>
            </w:hyperlink>
          </w:p>
          <w:p w:rsidR="00FF1214" w:rsidRPr="00FF1214" w:rsidRDefault="00FF1214" w:rsidP="00E64841">
            <w:pPr>
              <w:spacing w:before="100" w:beforeAutospacing="1" w:after="100" w:afterAutospacing="1" w:line="240" w:lineRule="auto"/>
              <w:rPr>
                <w:rFonts w:ascii="Helvetica" w:eastAsia="Times New Roman" w:hAnsi="Helvetica" w:cs="Helvetica"/>
                <w:b/>
                <w:iCs/>
                <w:color w:val="111111"/>
                <w:sz w:val="24"/>
                <w:szCs w:val="24"/>
                <w:lang w:eastAsia="de-AT"/>
              </w:rPr>
            </w:pPr>
            <w:r>
              <w:rPr>
                <w:rFonts w:ascii="Helvetica" w:eastAsia="Times New Roman" w:hAnsi="Helvetica" w:cs="Helvetica"/>
                <w:b/>
                <w:iCs/>
                <w:color w:val="111111"/>
                <w:sz w:val="24"/>
                <w:szCs w:val="24"/>
                <w:lang w:eastAsia="de-AT"/>
              </w:rPr>
              <w:t>Verschiedene Ablä</w:t>
            </w:r>
            <w:r w:rsidRPr="00FF1214">
              <w:rPr>
                <w:rFonts w:ascii="Helvetica" w:eastAsia="Times New Roman" w:hAnsi="Helvetica" w:cs="Helvetica"/>
                <w:b/>
                <w:iCs/>
                <w:color w:val="111111"/>
                <w:sz w:val="24"/>
                <w:szCs w:val="24"/>
                <w:lang w:eastAsia="de-AT"/>
              </w:rPr>
              <w:t>ss</w:t>
            </w:r>
            <w:r>
              <w:rPr>
                <w:rFonts w:ascii="Helvetica" w:eastAsia="Times New Roman" w:hAnsi="Helvetica" w:cs="Helvetica"/>
                <w:b/>
                <w:iCs/>
                <w:color w:val="111111"/>
                <w:sz w:val="24"/>
                <w:szCs w:val="24"/>
                <w:lang w:eastAsia="de-AT"/>
              </w:rPr>
              <w:t>e</w:t>
            </w:r>
            <w:r w:rsidRPr="00FF1214">
              <w:rPr>
                <w:rFonts w:ascii="Helvetica" w:eastAsia="Times New Roman" w:hAnsi="Helvetica" w:cs="Helvetica"/>
                <w:b/>
                <w:iCs/>
                <w:color w:val="111111"/>
                <w:sz w:val="24"/>
                <w:szCs w:val="24"/>
                <w:lang w:eastAsia="de-AT"/>
              </w:rPr>
              <w:t xml:space="preserve"> und Bedingungen</w:t>
            </w:r>
            <w:r>
              <w:rPr>
                <w:rFonts w:ascii="Helvetica" w:eastAsia="Times New Roman" w:hAnsi="Helvetica" w:cs="Helvetica"/>
                <w:b/>
                <w:iCs/>
                <w:color w:val="111111"/>
                <w:sz w:val="24"/>
                <w:szCs w:val="24"/>
                <w:lang w:eastAsia="de-AT"/>
              </w:rPr>
              <w:t>:</w:t>
            </w:r>
          </w:p>
          <w:p w:rsidR="00FF1214" w:rsidRPr="00FF1214" w:rsidRDefault="00FF1214" w:rsidP="00E64841">
            <w:pPr>
              <w:spacing w:before="100" w:beforeAutospacing="1" w:after="100" w:afterAutospacing="1" w:line="240" w:lineRule="auto"/>
              <w:rPr>
                <w:rFonts w:ascii="Helvetica" w:eastAsia="Times New Roman" w:hAnsi="Helvetica" w:cs="Helvetica"/>
                <w:iCs/>
                <w:color w:val="111111"/>
                <w:sz w:val="20"/>
                <w:lang w:eastAsia="de-AT"/>
              </w:rPr>
            </w:pPr>
            <w:hyperlink r:id="rId7" w:history="1">
              <w:r w:rsidRPr="00FF1214">
                <w:rPr>
                  <w:rStyle w:val="Hyperlink"/>
                  <w:rFonts w:ascii="Helvetica" w:eastAsia="Times New Roman" w:hAnsi="Helvetica" w:cs="Helvetica"/>
                  <w:iCs/>
                  <w:sz w:val="20"/>
                  <w:lang w:eastAsia="de-AT"/>
                </w:rPr>
                <w:t>http://pius.info/component/search/?searchword=Bedingungen+Ablass&amp;ordering=&amp;searchphrase=all</w:t>
              </w:r>
            </w:hyperlink>
          </w:p>
          <w:p w:rsidR="00E64841" w:rsidRPr="00E64841" w:rsidRDefault="00E64841" w:rsidP="00E64841">
            <w:pPr>
              <w:spacing w:after="0" w:line="240" w:lineRule="auto"/>
              <w:rPr>
                <w:rFonts w:ascii="Helvetica" w:eastAsia="Times New Roman" w:hAnsi="Helvetica" w:cs="Helvetica"/>
                <w:color w:val="111111"/>
                <w:sz w:val="20"/>
                <w:szCs w:val="20"/>
                <w:lang w:eastAsia="de-AT"/>
              </w:rPr>
            </w:pPr>
          </w:p>
        </w:tc>
      </w:tr>
    </w:tbl>
    <w:p w:rsidR="00C13487" w:rsidRDefault="00C13487"/>
    <w:sectPr w:rsidR="00C13487" w:rsidSect="00C134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4841"/>
    <w:rsid w:val="00BA0EF6"/>
    <w:rsid w:val="00C13487"/>
    <w:rsid w:val="00C73FBD"/>
    <w:rsid w:val="00E64841"/>
    <w:rsid w:val="00FF121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34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6484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E64841"/>
    <w:rPr>
      <w:i/>
      <w:iCs/>
    </w:rPr>
  </w:style>
  <w:style w:type="character" w:styleId="Fett">
    <w:name w:val="Strong"/>
    <w:basedOn w:val="Absatz-Standardschriftart"/>
    <w:uiPriority w:val="22"/>
    <w:qFormat/>
    <w:rsid w:val="00E64841"/>
    <w:rPr>
      <w:b/>
      <w:bCs/>
    </w:rPr>
  </w:style>
  <w:style w:type="paragraph" w:styleId="Sprechblasentext">
    <w:name w:val="Balloon Text"/>
    <w:basedOn w:val="Standard"/>
    <w:link w:val="SprechblasentextZchn"/>
    <w:uiPriority w:val="99"/>
    <w:semiHidden/>
    <w:unhideWhenUsed/>
    <w:rsid w:val="00E648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841"/>
    <w:rPr>
      <w:rFonts w:ascii="Tahoma" w:hAnsi="Tahoma" w:cs="Tahoma"/>
      <w:sz w:val="16"/>
      <w:szCs w:val="16"/>
    </w:rPr>
  </w:style>
  <w:style w:type="character" w:styleId="Hyperlink">
    <w:name w:val="Hyperlink"/>
    <w:basedOn w:val="Absatz-Standardschriftart"/>
    <w:uiPriority w:val="99"/>
    <w:unhideWhenUsed/>
    <w:rsid w:val="00FF12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ius.info/component/search/?searchword=Bedingungen+Ablass&amp;ordering=&amp;searchphrase=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us.info/froemmigkeit/8367-der-arme-seelen-ablass" TargetMode="External"/><Relationship Id="rId5" Type="http://schemas.openxmlformats.org/officeDocument/2006/relationships/image" Target="media/image1.png"/><Relationship Id="rId4" Type="http://schemas.openxmlformats.org/officeDocument/2006/relationships/hyperlink" Target="http://pius.info/froemmigkeit/8367-der-arme-seelen-ablass?format=pdf"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3643</Characters>
  <Application>Microsoft Office Word</Application>
  <DocSecurity>0</DocSecurity>
  <Lines>30</Lines>
  <Paragraphs>8</Paragraphs>
  <ScaleCrop>false</ScaleCrop>
  <Company>Organisation</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KOCH</dc:creator>
  <cp:keywords/>
  <dc:description/>
  <cp:lastModifiedBy>Maria KOCH</cp:lastModifiedBy>
  <cp:revision>4</cp:revision>
  <dcterms:created xsi:type="dcterms:W3CDTF">2014-11-20T09:21:00Z</dcterms:created>
  <dcterms:modified xsi:type="dcterms:W3CDTF">2014-11-20T11:42:00Z</dcterms:modified>
</cp:coreProperties>
</file>